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BEE" w:rsidRPr="007077B1" w:rsidRDefault="00A95BEE" w:rsidP="007077B1">
      <w:pPr>
        <w:shd w:val="clear" w:color="auto" w:fill="FFFFFF"/>
        <w:tabs>
          <w:tab w:val="left" w:pos="0"/>
          <w:tab w:val="left" w:pos="7797"/>
        </w:tabs>
        <w:spacing w:before="120"/>
        <w:jc w:val="right"/>
        <w:rPr>
          <w:b/>
          <w:bCs/>
          <w:spacing w:val="60"/>
          <w:sz w:val="28"/>
          <w:szCs w:val="28"/>
          <w:lang w:val="bg-BG" w:eastAsia="bg-BG"/>
        </w:rPr>
      </w:pPr>
      <w:r w:rsidRPr="007077B1">
        <w:rPr>
          <w:b/>
          <w:bCs/>
          <w:spacing w:val="60"/>
          <w:sz w:val="28"/>
          <w:szCs w:val="28"/>
          <w:lang w:val="bg-BG" w:eastAsia="bg-BG"/>
        </w:rPr>
        <w:t xml:space="preserve">Образец </w:t>
      </w:r>
    </w:p>
    <w:p w:rsidR="00B64306" w:rsidRPr="007077B1" w:rsidRDefault="00B64306" w:rsidP="007077B1">
      <w:pPr>
        <w:shd w:val="clear" w:color="auto" w:fill="FFFFFF"/>
        <w:tabs>
          <w:tab w:val="left" w:pos="0"/>
        </w:tabs>
        <w:spacing w:before="120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7077B1">
        <w:rPr>
          <w:b/>
          <w:bCs/>
          <w:spacing w:val="60"/>
          <w:sz w:val="28"/>
          <w:szCs w:val="28"/>
          <w:lang w:val="bg-BG" w:eastAsia="bg-BG"/>
        </w:rPr>
        <w:t>ТЕХНИЧЕСКО ПРЕДЛОЖЕНИЕ</w:t>
      </w:r>
    </w:p>
    <w:p w:rsidR="00B64306" w:rsidRPr="007077B1" w:rsidRDefault="00B64306" w:rsidP="007077B1">
      <w:pPr>
        <w:shd w:val="clear" w:color="auto" w:fill="FFFFFF"/>
        <w:tabs>
          <w:tab w:val="left" w:pos="0"/>
        </w:tabs>
        <w:spacing w:before="120"/>
        <w:jc w:val="center"/>
        <w:rPr>
          <w:b/>
          <w:bCs/>
          <w:color w:val="000000"/>
          <w:lang w:val="bg-BG"/>
        </w:rPr>
      </w:pPr>
      <w:r w:rsidRPr="007077B1">
        <w:rPr>
          <w:b/>
          <w:bCs/>
          <w:spacing w:val="60"/>
          <w:lang w:val="bg-BG" w:eastAsia="bg-BG"/>
        </w:rPr>
        <w:t>ДО БЪЛГАРСКА НАРОДНА БАНКА</w:t>
      </w:r>
    </w:p>
    <w:p w:rsidR="00B64306" w:rsidRPr="007077B1" w:rsidRDefault="00B64306" w:rsidP="007077B1">
      <w:pPr>
        <w:tabs>
          <w:tab w:val="left" w:pos="0"/>
          <w:tab w:val="left" w:pos="9180"/>
        </w:tabs>
        <w:snapToGrid w:val="0"/>
        <w:spacing w:before="120"/>
        <w:jc w:val="center"/>
        <w:rPr>
          <w:b/>
          <w:color w:val="000000"/>
          <w:lang w:val="bg-BG"/>
        </w:rPr>
      </w:pPr>
      <w:r w:rsidRPr="007077B1">
        <w:rPr>
          <w:b/>
          <w:color w:val="000000"/>
          <w:lang w:val="bg-BG"/>
        </w:rPr>
        <w:t>ОГРАНИЧЕНА ПРОЦЕДУРА ЗА ВЪЗЛАГАНЕ НА ОБЩЕСТВЕНА ПОРЪЧКА С ПРЕДМЕТ</w:t>
      </w:r>
    </w:p>
    <w:p w:rsidR="00B64306" w:rsidRPr="007077B1" w:rsidRDefault="00B64306" w:rsidP="007077B1">
      <w:pPr>
        <w:tabs>
          <w:tab w:val="left" w:pos="0"/>
          <w:tab w:val="left" w:pos="9180"/>
        </w:tabs>
        <w:snapToGrid w:val="0"/>
        <w:spacing w:before="120"/>
        <w:jc w:val="center"/>
        <w:rPr>
          <w:b/>
          <w:color w:val="000000"/>
          <w:lang w:val="bg-BG"/>
        </w:rPr>
      </w:pPr>
      <w:r w:rsidRPr="007077B1">
        <w:rPr>
          <w:b/>
          <w:color w:val="000000"/>
          <w:lang w:val="bg-BG"/>
        </w:rPr>
        <w:t>„ИЗБОР НА СТРОИТЕЛ ЗА ИЗГРАЖДАНЕ НА ОБЕКТ „КАСОВ ЦЕНТЪР – ГР. ПЛОВДИВ“</w:t>
      </w:r>
    </w:p>
    <w:p w:rsidR="00B64306" w:rsidRPr="007077B1" w:rsidRDefault="00B64306" w:rsidP="007077B1">
      <w:pPr>
        <w:pStyle w:val="BodyText"/>
        <w:rPr>
          <w:b/>
          <w:sz w:val="16"/>
          <w:szCs w:val="16"/>
          <w:lang w:val="bg-BG"/>
        </w:rPr>
      </w:pPr>
    </w:p>
    <w:p w:rsidR="00B64306" w:rsidRPr="007077B1" w:rsidRDefault="00B64306" w:rsidP="007077B1">
      <w:pPr>
        <w:pStyle w:val="BodyText"/>
        <w:rPr>
          <w:b/>
          <w:sz w:val="16"/>
          <w:szCs w:val="16"/>
          <w:lang w:val="bg-BG"/>
        </w:rPr>
      </w:pPr>
    </w:p>
    <w:p w:rsidR="00B64306" w:rsidRPr="007077B1" w:rsidRDefault="00B64306" w:rsidP="007077B1">
      <w:pPr>
        <w:pStyle w:val="BodyText"/>
        <w:rPr>
          <w:b/>
          <w:sz w:val="16"/>
          <w:szCs w:val="16"/>
          <w:lang w:val="bg-BG"/>
        </w:rPr>
      </w:pPr>
    </w:p>
    <w:p w:rsidR="00B64306" w:rsidRPr="007077B1" w:rsidRDefault="00B64306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B64306" w:rsidRPr="007077B1" w:rsidRDefault="00B64306" w:rsidP="009703B0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7077B1">
        <w:rPr>
          <w:b/>
          <w:spacing w:val="30"/>
          <w:lang w:val="bg-BG" w:eastAsia="bg-BG"/>
        </w:rPr>
        <w:t>УВАЖАЕМИ ГОСПОЖИ И ГОСПОДА,</w:t>
      </w: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 w:eastAsia="bg-BG"/>
        </w:rPr>
      </w:pP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>С настоящото Ви представяме нашето техническо предложение в обявената от Вас ограничена процедура за възлагане на обществена поръчка с предмет „Избор на строител за изграждане на обект „Касов център – гр. Пловдив“.</w:t>
      </w: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 w:eastAsia="bg-BG"/>
        </w:rPr>
      </w:pP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 w:eastAsia="bg-BG"/>
        </w:rPr>
        <w:t>1. Декларирам, че представляваният от мен участник е запознат с условията на Възложителя, посочени в поканата за подаване на оферти в ограничената процедура</w:t>
      </w:r>
      <w:r w:rsidRPr="007077B1">
        <w:rPr>
          <w:lang w:val="bg-BG"/>
        </w:rPr>
        <w:t>.</w:t>
      </w: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 w:eastAsia="bg-BG"/>
        </w:rPr>
      </w:pPr>
      <w:r w:rsidRPr="007077B1">
        <w:rPr>
          <w:color w:val="000000"/>
          <w:lang w:val="bg-BG"/>
        </w:rPr>
        <w:t xml:space="preserve">2. </w:t>
      </w:r>
      <w:r w:rsidRPr="007077B1">
        <w:rPr>
          <w:lang w:val="bg-BG" w:eastAsia="bg-BG"/>
        </w:rPr>
        <w:t>Срокът за валидност на офертите ни е 6 (шест) месеца, считано от датата, която е посочена за дата на получаване на офертите.</w:t>
      </w: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3. </w:t>
      </w:r>
      <w:r w:rsidRPr="007077B1">
        <w:rPr>
          <w:bCs/>
          <w:lang w:val="bg-BG" w:eastAsia="bg-BG"/>
        </w:rPr>
        <w:t xml:space="preserve">Декларирам, че съм </w:t>
      </w:r>
      <w:r w:rsidRPr="007077B1">
        <w:rPr>
          <w:lang w:val="bg-BG" w:eastAsia="bg-BG"/>
        </w:rPr>
        <w:t>запознат с условията и приемам клаузите в Проекта на договор, приложен в документацията за участие в настоящата обществена поръчка.</w:t>
      </w:r>
    </w:p>
    <w:p w:rsidR="00B64306" w:rsidRDefault="00B64306" w:rsidP="00D82FC7">
      <w:pPr>
        <w:pStyle w:val="ListParagraph"/>
        <w:spacing w:line="360" w:lineRule="auto"/>
        <w:ind w:left="0" w:firstLine="720"/>
        <w:jc w:val="both"/>
        <w:rPr>
          <w:snapToGrid w:val="0"/>
          <w:lang w:val="bg-BG"/>
        </w:rPr>
      </w:pPr>
      <w:r w:rsidRPr="007077B1">
        <w:rPr>
          <w:snapToGrid w:val="0"/>
          <w:lang w:val="bg-BG"/>
        </w:rPr>
        <w:t>4. Декларирам, че 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</w:t>
      </w:r>
      <w:r w:rsidR="00AD6FE6">
        <w:rPr>
          <w:rStyle w:val="FootnoteReference"/>
          <w:snapToGrid w:val="0"/>
          <w:lang w:val="bg-BG"/>
        </w:rPr>
        <w:footnoteReference w:id="1"/>
      </w:r>
      <w:r w:rsidRPr="007077B1">
        <w:rPr>
          <w:snapToGrid w:val="0"/>
          <w:lang w:val="bg-BG"/>
        </w:rPr>
        <w:t>.</w:t>
      </w:r>
    </w:p>
    <w:p w:rsidR="00B64306" w:rsidRPr="007077B1" w:rsidRDefault="00B64306" w:rsidP="009703B0">
      <w:pPr>
        <w:tabs>
          <w:tab w:val="left" w:pos="142"/>
          <w:tab w:val="left" w:pos="284"/>
        </w:tabs>
        <w:spacing w:line="360" w:lineRule="auto"/>
        <w:ind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5. Неразделна част от настоящото техническо предложение е предложението ни за изпълнение на поръчката, изготвено съгласно </w:t>
      </w:r>
      <w:r w:rsidRPr="007077B1">
        <w:rPr>
          <w:snapToGrid w:val="0"/>
          <w:lang w:val="bg-BG"/>
        </w:rPr>
        <w:t>Техническата спецификация на Възложителя, Техническия проект за обекта и Количествени сметки на проектанта по всички части на техническия проект.</w:t>
      </w: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lastRenderedPageBreak/>
        <w:t xml:space="preserve">6. Задължаваме се да завършим СМР и да извършим доставките по чл. 1, ал. 2 от проекта на договора, както и да предадем обекта в цялост с констативен акт обр. 15 за установяване годността за приемане на строежа по чл. 7, ал. 3, т. 15 от Наредба № 3 от 31 юли 2003 г. за съставяне на актове и протоколи по време на строителството във връзка с чл. 176, ал. 1 от Закона за устройство на територията (ЗУТ) в срок до </w:t>
      </w:r>
      <w:r w:rsidRPr="007077B1">
        <w:rPr>
          <w:b/>
          <w:lang w:val="bg-BG"/>
        </w:rPr>
        <w:t>……….. (………………………..)</w:t>
      </w:r>
      <w:r w:rsidRPr="007077B1">
        <w:rPr>
          <w:lang w:val="bg-BG"/>
        </w:rPr>
        <w:t xml:space="preserve"> месеца, считано от датата на откриване на строителната площадка със съставяне на протокол № 2 за откриване на строителна площадка и за определяне на строителната линия и ниво съгласно чл. 7, ал. 3, т. 2 от посочената наредба. </w:t>
      </w:r>
    </w:p>
    <w:p w:rsidR="00B64306" w:rsidRPr="007077B1" w:rsidRDefault="00B64306" w:rsidP="009703B0">
      <w:pPr>
        <w:spacing w:line="360" w:lineRule="auto"/>
        <w:ind w:firstLine="709"/>
        <w:jc w:val="both"/>
        <w:rPr>
          <w:i/>
          <w:lang w:val="bg-BG"/>
        </w:rPr>
      </w:pPr>
      <w:r w:rsidRPr="007077B1">
        <w:rPr>
          <w:b/>
          <w:lang w:val="bg-BG"/>
        </w:rPr>
        <w:t xml:space="preserve">Забележка: </w:t>
      </w:r>
      <w:r w:rsidRPr="007077B1">
        <w:rPr>
          <w:i/>
          <w:lang w:val="bg-BG"/>
        </w:rPr>
        <w:t xml:space="preserve">Този срок не може да бъде по-дълъг от </w:t>
      </w:r>
      <w:r w:rsidRPr="007077B1">
        <w:rPr>
          <w:b/>
          <w:i/>
          <w:lang w:val="bg-BG"/>
        </w:rPr>
        <w:t>15 (петнадесет) месеца</w:t>
      </w:r>
      <w:r w:rsidRPr="007077B1">
        <w:rPr>
          <w:i/>
          <w:lang w:val="bg-BG"/>
        </w:rPr>
        <w:t>. Участник, който предложи по-дълъг срок се отстранява от процедурата.</w:t>
      </w:r>
    </w:p>
    <w:p w:rsidR="00B64306" w:rsidRPr="007077B1" w:rsidRDefault="00B64306" w:rsidP="00590536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>7. Предлагаме следните гаранционни срокове, предвидени в Наредба № 2 от 31 юли 2003 г. за въвеждане в експлоатация на строежите в Република България и минимални гаранционни срокове за изпълнени СМР, съоръжения и строителни обекти – както следва:</w:t>
      </w:r>
    </w:p>
    <w:p w:rsidR="00B64306" w:rsidRPr="007077B1" w:rsidRDefault="00B64306" w:rsidP="00590536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>7.1. За строителни конструкции на сградите и съоръженията, включително и на земната основа под тях - ……………</w:t>
      </w:r>
      <w:r w:rsidRPr="007077B1">
        <w:rPr>
          <w:i/>
          <w:lang w:val="bg-BG"/>
        </w:rPr>
        <w:t>месеца/години</w:t>
      </w:r>
      <w:r w:rsidRPr="007077B1">
        <w:rPr>
          <w:lang w:val="bg-BG"/>
        </w:rPr>
        <w:t>;</w:t>
      </w:r>
    </w:p>
    <w:p w:rsidR="00B64306" w:rsidRPr="007077B1" w:rsidRDefault="00B64306" w:rsidP="00590536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 xml:space="preserve">7.2. За </w:t>
      </w:r>
      <w:proofErr w:type="spellStart"/>
      <w:r w:rsidRPr="007077B1">
        <w:rPr>
          <w:lang w:val="bg-BG"/>
        </w:rPr>
        <w:t>хидроизолационни</w:t>
      </w:r>
      <w:proofErr w:type="spellEnd"/>
      <w:r w:rsidRPr="007077B1">
        <w:rPr>
          <w:lang w:val="bg-BG"/>
        </w:rPr>
        <w:t xml:space="preserve">, топлоизолационни, звукоизолационни и антикорозионни работи на сгради и съоръжения в неагресивна следа -   …………… </w:t>
      </w:r>
      <w:r w:rsidRPr="007077B1">
        <w:rPr>
          <w:i/>
          <w:lang w:val="bg-BG"/>
        </w:rPr>
        <w:t>месеца/години</w:t>
      </w:r>
      <w:r w:rsidRPr="007077B1">
        <w:rPr>
          <w:lang w:val="bg-BG"/>
        </w:rPr>
        <w:t xml:space="preserve">, а в агресивна среда - …………… </w:t>
      </w:r>
      <w:r w:rsidRPr="007077B1">
        <w:rPr>
          <w:i/>
          <w:lang w:val="bg-BG"/>
        </w:rPr>
        <w:t>месеца/години</w:t>
      </w:r>
      <w:r w:rsidRPr="007077B1">
        <w:rPr>
          <w:lang w:val="bg-BG"/>
        </w:rPr>
        <w:t>;</w:t>
      </w:r>
    </w:p>
    <w:p w:rsidR="00B64306" w:rsidRPr="007077B1" w:rsidRDefault="00B64306" w:rsidP="00590536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 xml:space="preserve">7.3. За всички видове строителни, монтажни и довършителни работи (подови, стенни покрития, тенекеджийски, железарски, дърводелски и др.), както и за вътрешни инсталации на сгради (с изкл. на работите по т. 7.1. и 7.2.) - …………… </w:t>
      </w:r>
      <w:r w:rsidRPr="007077B1">
        <w:rPr>
          <w:i/>
          <w:lang w:val="bg-BG"/>
        </w:rPr>
        <w:t>месеца/години</w:t>
      </w:r>
      <w:r w:rsidRPr="007077B1">
        <w:rPr>
          <w:lang w:val="bg-BG"/>
        </w:rPr>
        <w:t>;</w:t>
      </w:r>
    </w:p>
    <w:p w:rsidR="00B64306" w:rsidRPr="007077B1" w:rsidRDefault="00B64306" w:rsidP="00590536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 xml:space="preserve">7.4. За завършен монтаж на машини, съоръжения, инсталации, контролно- измервателни системи и автоматика - …………… </w:t>
      </w:r>
      <w:r w:rsidRPr="007077B1">
        <w:rPr>
          <w:i/>
          <w:lang w:val="bg-BG"/>
        </w:rPr>
        <w:t>месеца/години</w:t>
      </w:r>
      <w:r w:rsidRPr="007077B1">
        <w:rPr>
          <w:lang w:val="bg-BG"/>
        </w:rPr>
        <w:t>;</w:t>
      </w:r>
    </w:p>
    <w:p w:rsidR="00B64306" w:rsidRPr="007077B1" w:rsidRDefault="00B64306" w:rsidP="00590536">
      <w:pPr>
        <w:spacing w:line="360" w:lineRule="auto"/>
        <w:ind w:firstLine="709"/>
        <w:jc w:val="both"/>
        <w:rPr>
          <w:lang w:val="bg-BG"/>
        </w:rPr>
      </w:pPr>
      <w:r w:rsidRPr="007077B1">
        <w:rPr>
          <w:b/>
          <w:lang w:val="bg-BG"/>
        </w:rPr>
        <w:t xml:space="preserve">Забележка: </w:t>
      </w:r>
      <w:r w:rsidRPr="007077B1">
        <w:rPr>
          <w:i/>
          <w:lang w:val="bg-BG"/>
        </w:rPr>
        <w:t>гаранционните срокове не може да бъдат по-кратки от минималните гаранционни срокове посочени в Наредба № 2 от 31 юли 2003 г. за въвеждане в експлоатация на строежите в Република България и минимални гаранционни срокове за изпълнени СМР, съоръжения и строителни обекти. Участник, който предложи по-кратки срокове се отстранява от процедурата.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>8. Предлагаме следните гаранционни срокове, изисквани от възложителя, както следва:</w:t>
      </w:r>
    </w:p>
    <w:p w:rsidR="00B64306" w:rsidRPr="007077B1" w:rsidRDefault="00B64306" w:rsidP="000672E4">
      <w:pPr>
        <w:spacing w:line="360" w:lineRule="auto"/>
        <w:ind w:right="-143" w:firstLine="283"/>
        <w:jc w:val="both"/>
        <w:rPr>
          <w:lang w:val="bg-BG" w:eastAsia="bg-BG"/>
        </w:rPr>
      </w:pPr>
      <w:r w:rsidRPr="007077B1">
        <w:rPr>
          <w:lang w:val="bg-BG" w:eastAsia="bg-BG"/>
        </w:rPr>
        <w:lastRenderedPageBreak/>
        <w:t xml:space="preserve">  </w:t>
      </w:r>
      <w:r w:rsidRPr="007077B1">
        <w:rPr>
          <w:lang w:val="bg-BG" w:eastAsia="bg-BG"/>
        </w:rPr>
        <w:tab/>
        <w:t>8.1. За външни ВиК мрежи; кабелно захранване НН</w:t>
      </w:r>
      <w:r w:rsidRPr="007077B1">
        <w:rPr>
          <w:rStyle w:val="FootnoteReference"/>
          <w:lang w:val="bg-BG" w:eastAsia="bg-BG"/>
        </w:rPr>
        <w:footnoteReference w:id="2"/>
      </w:r>
      <w:r w:rsidRPr="007077B1">
        <w:rPr>
          <w:lang w:val="bg-BG" w:eastAsia="bg-BG"/>
        </w:rPr>
        <w:t xml:space="preserve">, телефонно захранване и паркинг  -   ……………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>8.2. За извършени доставки, както следва: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8.2.1. Подземни </w:t>
      </w:r>
      <w:proofErr w:type="spellStart"/>
      <w:r w:rsidRPr="007077B1">
        <w:rPr>
          <w:lang w:val="bg-BG" w:eastAsia="bg-BG"/>
        </w:rPr>
        <w:t>хидроизолационни</w:t>
      </w:r>
      <w:proofErr w:type="spellEnd"/>
      <w:r w:rsidRPr="007077B1">
        <w:rPr>
          <w:lang w:val="bg-BG" w:eastAsia="bg-BG"/>
        </w:rPr>
        <w:t xml:space="preserve"> материали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8.2.2. Покривни </w:t>
      </w:r>
      <w:proofErr w:type="spellStart"/>
      <w:r w:rsidRPr="007077B1">
        <w:rPr>
          <w:lang w:val="bg-BG" w:eastAsia="bg-BG"/>
        </w:rPr>
        <w:t>хидроизолационни</w:t>
      </w:r>
      <w:proofErr w:type="spellEnd"/>
      <w:r w:rsidRPr="007077B1">
        <w:rPr>
          <w:lang w:val="bg-BG" w:eastAsia="bg-BG"/>
        </w:rPr>
        <w:t xml:space="preserve"> материали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8.2.3. Външна дограма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8.2.4. Вътрешна дограма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8.2.5. </w:t>
      </w:r>
      <w:proofErr w:type="spellStart"/>
      <w:r w:rsidRPr="007077B1">
        <w:rPr>
          <w:lang w:val="bg-BG" w:eastAsia="bg-BG"/>
        </w:rPr>
        <w:t>Саморазливни</w:t>
      </w:r>
      <w:proofErr w:type="spellEnd"/>
      <w:r w:rsidRPr="007077B1">
        <w:rPr>
          <w:lang w:val="bg-BG" w:eastAsia="bg-BG"/>
        </w:rPr>
        <w:t xml:space="preserve"> замазки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8.2.6. Съоръжения за ОВКИ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>8.2.7. Съоръжения за електрозахранване: трафопост, КРУ</w:t>
      </w:r>
      <w:r w:rsidRPr="007077B1">
        <w:rPr>
          <w:rStyle w:val="FootnoteReference"/>
          <w:lang w:val="bg-BG" w:eastAsia="bg-BG"/>
        </w:rPr>
        <w:footnoteReference w:id="3"/>
      </w:r>
      <w:r w:rsidRPr="007077B1">
        <w:rPr>
          <w:lang w:val="bg-BG" w:eastAsia="bg-BG"/>
        </w:rPr>
        <w:t>, дизел-генератор, UPS, АВР</w:t>
      </w:r>
      <w:r w:rsidRPr="007077B1">
        <w:rPr>
          <w:rStyle w:val="FootnoteReference"/>
          <w:lang w:val="bg-BG" w:eastAsia="bg-BG"/>
        </w:rPr>
        <w:footnoteReference w:id="4"/>
      </w:r>
      <w:r w:rsidRPr="007077B1">
        <w:rPr>
          <w:lang w:val="bg-BG" w:eastAsia="bg-BG"/>
        </w:rPr>
        <w:t>, ГРТ</w:t>
      </w:r>
      <w:r w:rsidRPr="007077B1">
        <w:rPr>
          <w:rStyle w:val="FootnoteReference"/>
          <w:lang w:val="bg-BG" w:eastAsia="bg-BG"/>
        </w:rPr>
        <w:footnoteReference w:id="5"/>
      </w:r>
      <w:r w:rsidRPr="007077B1">
        <w:rPr>
          <w:lang w:val="bg-BG" w:eastAsia="bg-BG"/>
        </w:rPr>
        <w:t xml:space="preserve">, етажни и локални ел. табла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;</w:t>
      </w:r>
    </w:p>
    <w:p w:rsidR="00B64306" w:rsidRPr="007077B1" w:rsidRDefault="00B64306" w:rsidP="000672E4">
      <w:pPr>
        <w:spacing w:line="360" w:lineRule="auto"/>
        <w:ind w:right="-143" w:firstLine="709"/>
        <w:jc w:val="both"/>
        <w:rPr>
          <w:lang w:val="bg-BG" w:eastAsia="bg-BG"/>
        </w:rPr>
      </w:pPr>
      <w:r w:rsidRPr="007077B1">
        <w:rPr>
          <w:lang w:val="bg-BG" w:eastAsia="bg-BG"/>
        </w:rPr>
        <w:t xml:space="preserve">8.2.8. Асансьорни уредби ……… </w:t>
      </w:r>
      <w:r w:rsidRPr="007077B1">
        <w:rPr>
          <w:i/>
          <w:lang w:val="bg-BG" w:eastAsia="bg-BG"/>
        </w:rPr>
        <w:t>месеца/години</w:t>
      </w:r>
      <w:r w:rsidRPr="007077B1">
        <w:rPr>
          <w:lang w:val="bg-BG" w:eastAsia="bg-BG"/>
        </w:rPr>
        <w:t>.</w:t>
      </w: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>9. Упълномощаваме следните представители, които да проследяват и приемат изпълнението на задълженията ни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др.), както следва: ............................. .</w:t>
      </w: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>10. За целите на настоящия договор уведомяването до нас ще се извършва писмено по факс: ... … ; електронна поща (e-</w:t>
      </w:r>
      <w:proofErr w:type="spellStart"/>
      <w:r w:rsidRPr="007077B1">
        <w:rPr>
          <w:lang w:val="bg-BG"/>
        </w:rPr>
        <w:t>mail</w:t>
      </w:r>
      <w:proofErr w:type="spellEnd"/>
      <w:r w:rsidRPr="007077B1">
        <w:rPr>
          <w:lang w:val="bg-BG"/>
        </w:rPr>
        <w:t>): ... …; или с препоръчано писмо на адрес: ….. .</w:t>
      </w: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  <w:r w:rsidRPr="007077B1">
        <w:rPr>
          <w:lang w:val="bg-BG"/>
        </w:rPr>
        <w:t xml:space="preserve">Като неразделна част от настоящето предложение прилагаме следните документи: </w:t>
      </w:r>
    </w:p>
    <w:p w:rsidR="00B64306" w:rsidRPr="007077B1" w:rsidRDefault="00B64306" w:rsidP="009703B0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7077B1">
        <w:rPr>
          <w:lang w:val="bg-BG"/>
        </w:rPr>
        <w:t>Предложение за изпълнение на поръчката;</w:t>
      </w:r>
    </w:p>
    <w:p w:rsidR="00B64306" w:rsidRPr="007077B1" w:rsidRDefault="00B64306" w:rsidP="009703B0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lang w:val="bg-BG"/>
        </w:rPr>
      </w:pPr>
      <w:r w:rsidRPr="007077B1">
        <w:rPr>
          <w:lang w:val="bg-BG"/>
        </w:rPr>
        <w:t>График за времетраене на основните видове СМР по видове и по подобекти.</w:t>
      </w:r>
    </w:p>
    <w:p w:rsidR="00B64306" w:rsidRPr="007077B1" w:rsidRDefault="00B64306" w:rsidP="006F0D28">
      <w:pPr>
        <w:tabs>
          <w:tab w:val="left" w:pos="993"/>
        </w:tabs>
        <w:spacing w:line="360" w:lineRule="auto"/>
        <w:jc w:val="both"/>
        <w:rPr>
          <w:lang w:val="bg-BG"/>
        </w:rPr>
      </w:pP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</w:p>
    <w:p w:rsidR="00B64306" w:rsidRPr="007077B1" w:rsidRDefault="00B64306" w:rsidP="009703B0">
      <w:pPr>
        <w:spacing w:line="360" w:lineRule="auto"/>
        <w:ind w:firstLine="709"/>
        <w:jc w:val="both"/>
        <w:rPr>
          <w:lang w:val="bg-BG"/>
        </w:rPr>
      </w:pPr>
      <w:r w:rsidRPr="007077B1">
        <w:rPr>
          <w:b/>
          <w:i/>
          <w:lang w:val="bg-BG"/>
        </w:rPr>
        <w:t>Забележка:</w:t>
      </w:r>
      <w:r w:rsidRPr="007077B1">
        <w:rPr>
          <w:i/>
          <w:lang w:val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7077B1">
        <w:rPr>
          <w:i/>
          <w:iCs/>
          <w:lang w:val="bg-BG"/>
        </w:rPr>
        <w:t xml:space="preserve"> В случай, че участник в процедурата е обединение, техническото предложение се попълва и подписва от представляващия обединението.</w:t>
      </w:r>
    </w:p>
    <w:p w:rsidR="00B64306" w:rsidRPr="007077B1" w:rsidRDefault="00B64306" w:rsidP="00D613B9">
      <w:pPr>
        <w:spacing w:line="360" w:lineRule="auto"/>
        <w:ind w:firstLine="720"/>
        <w:jc w:val="both"/>
        <w:rPr>
          <w:lang w:val="bg-BG"/>
        </w:rPr>
      </w:pPr>
    </w:p>
    <w:p w:rsidR="00B64306" w:rsidRPr="007077B1" w:rsidRDefault="00B64306" w:rsidP="00D613B9">
      <w:pPr>
        <w:spacing w:line="360" w:lineRule="auto"/>
        <w:ind w:firstLine="720"/>
        <w:jc w:val="both"/>
        <w:rPr>
          <w:b/>
          <w:lang w:val="bg-BG"/>
        </w:rPr>
      </w:pPr>
      <w:r w:rsidRPr="007077B1">
        <w:rPr>
          <w:lang w:val="bg-BG"/>
        </w:rPr>
        <w:lastRenderedPageBreak/>
        <w:t>Дата: .................................</w:t>
      </w:r>
      <w:r w:rsidRPr="007077B1">
        <w:rPr>
          <w:b/>
          <w:lang w:val="bg-BG"/>
        </w:rPr>
        <w:t xml:space="preserve">                   </w:t>
      </w:r>
      <w:r w:rsidRPr="007077B1">
        <w:rPr>
          <w:b/>
          <w:lang w:val="bg-BG"/>
        </w:rPr>
        <w:tab/>
        <w:t xml:space="preserve">  Подпис:…………………………</w:t>
      </w:r>
    </w:p>
    <w:p w:rsidR="00B64306" w:rsidRPr="007077B1" w:rsidRDefault="00B64306" w:rsidP="00D613B9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7077B1">
        <w:rPr>
          <w:b/>
          <w:lang w:val="bg-BG"/>
        </w:rPr>
        <w:tab/>
      </w:r>
      <w:r w:rsidRPr="007077B1">
        <w:rPr>
          <w:b/>
          <w:lang w:val="bg-BG"/>
        </w:rPr>
        <w:tab/>
        <w:t>Име и длъжност: .......................</w:t>
      </w:r>
    </w:p>
    <w:p w:rsidR="00B64306" w:rsidRPr="007077B1" w:rsidRDefault="00B64306" w:rsidP="00D613B9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  <w:r w:rsidRPr="007077B1">
        <w:rPr>
          <w:b/>
          <w:lang w:val="bg-BG"/>
        </w:rPr>
        <w:tab/>
      </w:r>
      <w:r w:rsidRPr="007077B1">
        <w:rPr>
          <w:b/>
          <w:lang w:val="bg-BG"/>
        </w:rPr>
        <w:tab/>
        <w:t>Име на участника: ....................</w:t>
      </w:r>
    </w:p>
    <w:sectPr w:rsidR="00B64306" w:rsidRPr="007077B1" w:rsidSect="00760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7B3" w:rsidRDefault="00FB27B3" w:rsidP="007559A0">
      <w:r>
        <w:separator/>
      </w:r>
    </w:p>
  </w:endnote>
  <w:endnote w:type="continuationSeparator" w:id="0">
    <w:p w:rsidR="00FB27B3" w:rsidRDefault="00FB27B3" w:rsidP="0075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7B3" w:rsidRDefault="00FB27B3" w:rsidP="007559A0">
      <w:r>
        <w:separator/>
      </w:r>
    </w:p>
  </w:footnote>
  <w:footnote w:type="continuationSeparator" w:id="0">
    <w:p w:rsidR="00FB27B3" w:rsidRDefault="00FB27B3" w:rsidP="007559A0">
      <w:r>
        <w:continuationSeparator/>
      </w:r>
    </w:p>
  </w:footnote>
  <w:footnote w:id="1">
    <w:p w:rsidR="00AD6FE6" w:rsidRPr="00AD6FE6" w:rsidRDefault="00AD6FE6" w:rsidP="00AD6FE6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AD6FE6">
        <w:rPr>
          <w:sz w:val="16"/>
          <w:szCs w:val="16"/>
        </w:rPr>
        <w:t xml:space="preserve"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</w:t>
      </w:r>
      <w:proofErr w:type="spellStart"/>
      <w:r w:rsidRPr="00AD6FE6">
        <w:rPr>
          <w:sz w:val="16"/>
          <w:szCs w:val="16"/>
        </w:rPr>
        <w:t>относими</w:t>
      </w:r>
      <w:proofErr w:type="spellEnd"/>
      <w:r w:rsidRPr="00AD6FE6">
        <w:rPr>
          <w:sz w:val="16"/>
          <w:szCs w:val="16"/>
        </w:rPr>
        <w:t xml:space="preserve"> към услугите, предмет на поръчката, както следва: </w:t>
      </w:r>
    </w:p>
    <w:p w:rsidR="00AD6FE6" w:rsidRPr="00AD6FE6" w:rsidRDefault="00AD6FE6" w:rsidP="00AD6FE6">
      <w:pPr>
        <w:pStyle w:val="FootnoteText"/>
        <w:numPr>
          <w:ilvl w:val="0"/>
          <w:numId w:val="2"/>
        </w:numPr>
        <w:tabs>
          <w:tab w:val="left" w:pos="142"/>
        </w:tabs>
        <w:ind w:left="0" w:firstLine="0"/>
        <w:rPr>
          <w:b/>
          <w:bCs/>
          <w:sz w:val="16"/>
          <w:szCs w:val="16"/>
        </w:rPr>
      </w:pPr>
      <w:r w:rsidRPr="00AD6FE6">
        <w:rPr>
          <w:b/>
          <w:bCs/>
          <w:sz w:val="16"/>
          <w:szCs w:val="16"/>
        </w:rPr>
        <w:t xml:space="preserve"> Относно задълженията, свързани с данъци и осигуровки: </w:t>
      </w:r>
      <w:r w:rsidRPr="00AD6FE6">
        <w:rPr>
          <w:sz w:val="16"/>
          <w:szCs w:val="16"/>
        </w:rPr>
        <w:t xml:space="preserve">Национална агенция по приходите, интернет адрес: </w:t>
      </w:r>
      <w:hyperlink r:id="rId1" w:history="1">
        <w:r w:rsidRPr="00AD6FE6">
          <w:rPr>
            <w:rStyle w:val="Hyperlink"/>
            <w:sz w:val="16"/>
            <w:szCs w:val="16"/>
          </w:rPr>
          <w:t>www.nap.bg</w:t>
        </w:r>
      </w:hyperlink>
      <w:r w:rsidRPr="00AD6FE6">
        <w:rPr>
          <w:sz w:val="16"/>
          <w:szCs w:val="16"/>
        </w:rPr>
        <w:t xml:space="preserve"> </w:t>
      </w:r>
    </w:p>
    <w:p w:rsidR="00AD6FE6" w:rsidRPr="00AD6FE6" w:rsidRDefault="00AD6FE6" w:rsidP="00AD6FE6">
      <w:pPr>
        <w:pStyle w:val="FootnoteText"/>
        <w:numPr>
          <w:ilvl w:val="0"/>
          <w:numId w:val="2"/>
        </w:numPr>
        <w:tabs>
          <w:tab w:val="left" w:pos="142"/>
        </w:tabs>
        <w:ind w:left="0" w:firstLine="0"/>
        <w:rPr>
          <w:sz w:val="16"/>
          <w:szCs w:val="16"/>
        </w:rPr>
      </w:pPr>
      <w:r w:rsidRPr="00AD6FE6">
        <w:rPr>
          <w:b/>
          <w:bCs/>
          <w:sz w:val="16"/>
          <w:szCs w:val="16"/>
        </w:rPr>
        <w:t>Относно задълженията, свързани със закрила на заетостта и условията на труд</w:t>
      </w:r>
      <w:r w:rsidRPr="00AD6FE6">
        <w:rPr>
          <w:sz w:val="16"/>
          <w:szCs w:val="16"/>
        </w:rPr>
        <w:t xml:space="preserve">: </w:t>
      </w:r>
    </w:p>
    <w:p w:rsidR="00AD6FE6" w:rsidRPr="00AD6FE6" w:rsidRDefault="00AD6FE6" w:rsidP="00AD6FE6">
      <w:pPr>
        <w:pStyle w:val="FootnoteText"/>
        <w:numPr>
          <w:ilvl w:val="1"/>
          <w:numId w:val="2"/>
        </w:numPr>
        <w:ind w:left="0" w:firstLine="426"/>
        <w:rPr>
          <w:sz w:val="16"/>
          <w:szCs w:val="16"/>
        </w:rPr>
      </w:pPr>
      <w:r w:rsidRPr="00AD6FE6">
        <w:rPr>
          <w:sz w:val="16"/>
          <w:szCs w:val="16"/>
        </w:rPr>
        <w:t xml:space="preserve">Министерство на труда и социалната политика, интернет адрес: </w:t>
      </w:r>
      <w:hyperlink r:id="rId2" w:history="1">
        <w:r w:rsidRPr="00AD6FE6">
          <w:rPr>
            <w:rStyle w:val="Hyperlink"/>
            <w:sz w:val="16"/>
            <w:szCs w:val="16"/>
          </w:rPr>
          <w:t>http://www.mlsp.government.bg</w:t>
        </w:r>
      </w:hyperlink>
      <w:r w:rsidRPr="00AD6FE6">
        <w:rPr>
          <w:sz w:val="16"/>
          <w:szCs w:val="16"/>
        </w:rPr>
        <w:t xml:space="preserve"> .</w:t>
      </w:r>
    </w:p>
    <w:p w:rsidR="00AD6FE6" w:rsidRDefault="00AD6FE6" w:rsidP="00AD6FE6">
      <w:pPr>
        <w:pStyle w:val="FootnoteText"/>
        <w:numPr>
          <w:ilvl w:val="1"/>
          <w:numId w:val="2"/>
        </w:numPr>
        <w:ind w:left="0" w:firstLine="426"/>
        <w:rPr>
          <w:sz w:val="16"/>
          <w:szCs w:val="16"/>
        </w:rPr>
      </w:pPr>
      <w:r w:rsidRPr="00AD6FE6">
        <w:rPr>
          <w:sz w:val="16"/>
          <w:szCs w:val="16"/>
        </w:rPr>
        <w:t xml:space="preserve">Агенция по заетостта, интернет адрес: </w:t>
      </w:r>
      <w:hyperlink r:id="rId3" w:history="1">
        <w:r w:rsidRPr="00AD6FE6">
          <w:rPr>
            <w:rStyle w:val="Hyperlink"/>
            <w:sz w:val="16"/>
            <w:szCs w:val="16"/>
          </w:rPr>
          <w:t>https://www.az.government.bg</w:t>
        </w:r>
      </w:hyperlink>
      <w:r>
        <w:rPr>
          <w:sz w:val="16"/>
          <w:szCs w:val="16"/>
        </w:rPr>
        <w:t>;</w:t>
      </w:r>
    </w:p>
    <w:p w:rsidR="00AD6FE6" w:rsidRPr="00AD6FE6" w:rsidRDefault="00AD6FE6" w:rsidP="00AD6FE6">
      <w:pPr>
        <w:pStyle w:val="FootnoteText"/>
        <w:numPr>
          <w:ilvl w:val="1"/>
          <w:numId w:val="2"/>
        </w:numPr>
        <w:ind w:left="0" w:firstLine="426"/>
        <w:rPr>
          <w:sz w:val="16"/>
          <w:szCs w:val="16"/>
        </w:rPr>
      </w:pPr>
      <w:r w:rsidRPr="00AD6FE6">
        <w:rPr>
          <w:sz w:val="16"/>
          <w:szCs w:val="16"/>
        </w:rPr>
        <w:t xml:space="preserve">Изпълнителна агенция „Главна инспекция по труда“, интернет адрес: </w:t>
      </w:r>
      <w:hyperlink r:id="rId4" w:history="1">
        <w:r w:rsidRPr="00AD6FE6">
          <w:rPr>
            <w:rStyle w:val="Hyperlink"/>
            <w:sz w:val="16"/>
            <w:szCs w:val="16"/>
          </w:rPr>
          <w:t>www.gli.government.bg</w:t>
        </w:r>
      </w:hyperlink>
      <w:r w:rsidRPr="00AD6FE6">
        <w:rPr>
          <w:sz w:val="16"/>
          <w:szCs w:val="16"/>
          <w:lang w:val="en-US"/>
        </w:rPr>
        <w:t>.</w:t>
      </w:r>
    </w:p>
    <w:p w:rsidR="00AD6FE6" w:rsidRPr="00AD6FE6" w:rsidRDefault="00AD6FE6" w:rsidP="00AD6FE6">
      <w:pPr>
        <w:pStyle w:val="FootnoteText"/>
        <w:numPr>
          <w:ilvl w:val="0"/>
          <w:numId w:val="2"/>
        </w:numPr>
        <w:tabs>
          <w:tab w:val="left" w:pos="142"/>
        </w:tabs>
        <w:ind w:left="0" w:firstLine="0"/>
        <w:rPr>
          <w:b/>
          <w:sz w:val="16"/>
          <w:szCs w:val="16"/>
        </w:rPr>
      </w:pPr>
      <w:r w:rsidRPr="00AD6FE6">
        <w:rPr>
          <w:b/>
          <w:sz w:val="16"/>
          <w:szCs w:val="16"/>
        </w:rPr>
        <w:t xml:space="preserve">Относно задълженията, свързани с опазване на околната среда: </w:t>
      </w:r>
    </w:p>
    <w:p w:rsidR="00AD6FE6" w:rsidRPr="00AD6FE6" w:rsidRDefault="00AD6FE6" w:rsidP="00AD6FE6">
      <w:pPr>
        <w:pStyle w:val="FootnoteText"/>
        <w:ind w:firstLine="708"/>
        <w:rPr>
          <w:sz w:val="16"/>
          <w:szCs w:val="16"/>
          <w:lang w:val="en-US"/>
        </w:rPr>
      </w:pPr>
      <w:bookmarkStart w:id="0" w:name="_GoBack"/>
      <w:bookmarkEnd w:id="0"/>
      <w:r w:rsidRPr="00AD6FE6">
        <w:rPr>
          <w:sz w:val="16"/>
          <w:szCs w:val="16"/>
        </w:rPr>
        <w:t xml:space="preserve">Министерство на околната среда и водите: Интернет адрес: </w:t>
      </w:r>
      <w:hyperlink r:id="rId5" w:history="1">
        <w:r w:rsidRPr="00B34D95">
          <w:rPr>
            <w:rStyle w:val="Hyperlink"/>
            <w:sz w:val="16"/>
            <w:szCs w:val="16"/>
          </w:rPr>
          <w:t>http://www3.moew.government.bg/</w:t>
        </w:r>
      </w:hyperlink>
      <w:r>
        <w:rPr>
          <w:sz w:val="16"/>
          <w:szCs w:val="16"/>
          <w:lang w:val="en-US"/>
        </w:rPr>
        <w:t xml:space="preserve"> </w:t>
      </w:r>
    </w:p>
    <w:p w:rsidR="00AD6FE6" w:rsidRPr="00AD6FE6" w:rsidRDefault="00AD6FE6">
      <w:pPr>
        <w:pStyle w:val="FootnoteText"/>
        <w:rPr>
          <w:lang w:val="en-US"/>
        </w:rPr>
      </w:pPr>
    </w:p>
  </w:footnote>
  <w:footnote w:id="2">
    <w:p w:rsidR="00B64306" w:rsidRDefault="00B64306" w:rsidP="000672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Ниско напрежение</w:t>
      </w:r>
    </w:p>
  </w:footnote>
  <w:footnote w:id="3">
    <w:p w:rsidR="00B64306" w:rsidRDefault="00B64306" w:rsidP="000672E4">
      <w:pPr>
        <w:pStyle w:val="FootnoteText"/>
      </w:pPr>
      <w:r>
        <w:rPr>
          <w:rStyle w:val="FootnoteReference"/>
        </w:rPr>
        <w:footnoteRef/>
      </w:r>
      <w:r>
        <w:t xml:space="preserve"> Комплексно-разпределителна уредба</w:t>
      </w:r>
    </w:p>
  </w:footnote>
  <w:footnote w:id="4">
    <w:p w:rsidR="00B64306" w:rsidRDefault="00B64306" w:rsidP="000672E4">
      <w:pPr>
        <w:pStyle w:val="FootnoteText"/>
      </w:pPr>
      <w:r>
        <w:rPr>
          <w:rStyle w:val="FootnoteReference"/>
        </w:rPr>
        <w:footnoteRef/>
      </w:r>
      <w:r>
        <w:t xml:space="preserve"> Автоматично включване на резерва</w:t>
      </w:r>
    </w:p>
  </w:footnote>
  <w:footnote w:id="5">
    <w:p w:rsidR="00B64306" w:rsidRDefault="00B64306" w:rsidP="000672E4">
      <w:pPr>
        <w:pStyle w:val="FootnoteText"/>
      </w:pPr>
      <w:r>
        <w:rPr>
          <w:rStyle w:val="FootnoteReference"/>
        </w:rPr>
        <w:footnoteRef/>
      </w:r>
      <w:r>
        <w:t xml:space="preserve"> Главно разпределително табло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447EE"/>
    <w:multiLevelType w:val="hybridMultilevel"/>
    <w:tmpl w:val="35321B1A"/>
    <w:lvl w:ilvl="0" w:tplc="21A411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21D400E"/>
    <w:multiLevelType w:val="hybridMultilevel"/>
    <w:tmpl w:val="12F473DA"/>
    <w:lvl w:ilvl="0" w:tplc="B6CAD3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0E4"/>
    <w:rsid w:val="00047937"/>
    <w:rsid w:val="000672E4"/>
    <w:rsid w:val="000F2661"/>
    <w:rsid w:val="001027B1"/>
    <w:rsid w:val="00117255"/>
    <w:rsid w:val="0018236D"/>
    <w:rsid w:val="001C2151"/>
    <w:rsid w:val="001C34F5"/>
    <w:rsid w:val="001F7147"/>
    <w:rsid w:val="00212472"/>
    <w:rsid w:val="00225C41"/>
    <w:rsid w:val="00226476"/>
    <w:rsid w:val="00246A06"/>
    <w:rsid w:val="002537CB"/>
    <w:rsid w:val="002572C0"/>
    <w:rsid w:val="0029694E"/>
    <w:rsid w:val="002A557C"/>
    <w:rsid w:val="002C5DBB"/>
    <w:rsid w:val="0031295F"/>
    <w:rsid w:val="00330017"/>
    <w:rsid w:val="00331F6A"/>
    <w:rsid w:val="00377162"/>
    <w:rsid w:val="00377CE5"/>
    <w:rsid w:val="003A4218"/>
    <w:rsid w:val="003C4023"/>
    <w:rsid w:val="003E641F"/>
    <w:rsid w:val="00403FDA"/>
    <w:rsid w:val="0042716D"/>
    <w:rsid w:val="0043588B"/>
    <w:rsid w:val="00443460"/>
    <w:rsid w:val="0047131A"/>
    <w:rsid w:val="004A2504"/>
    <w:rsid w:val="004C4918"/>
    <w:rsid w:val="00516B06"/>
    <w:rsid w:val="0052118C"/>
    <w:rsid w:val="00523F0B"/>
    <w:rsid w:val="00556421"/>
    <w:rsid w:val="00573D03"/>
    <w:rsid w:val="005774AB"/>
    <w:rsid w:val="00590536"/>
    <w:rsid w:val="005E626F"/>
    <w:rsid w:val="005F473E"/>
    <w:rsid w:val="006160AA"/>
    <w:rsid w:val="00662A00"/>
    <w:rsid w:val="00673F74"/>
    <w:rsid w:val="00683F1F"/>
    <w:rsid w:val="006B664D"/>
    <w:rsid w:val="006D0CB6"/>
    <w:rsid w:val="006F0D28"/>
    <w:rsid w:val="007077B1"/>
    <w:rsid w:val="007559A0"/>
    <w:rsid w:val="0076063B"/>
    <w:rsid w:val="007B2956"/>
    <w:rsid w:val="00803955"/>
    <w:rsid w:val="008262A0"/>
    <w:rsid w:val="00830A69"/>
    <w:rsid w:val="008402C1"/>
    <w:rsid w:val="008527F5"/>
    <w:rsid w:val="008B6F80"/>
    <w:rsid w:val="008F5CF3"/>
    <w:rsid w:val="0092028F"/>
    <w:rsid w:val="0095763B"/>
    <w:rsid w:val="009703B0"/>
    <w:rsid w:val="00993849"/>
    <w:rsid w:val="009A129B"/>
    <w:rsid w:val="009D1C08"/>
    <w:rsid w:val="009D76B4"/>
    <w:rsid w:val="009F7231"/>
    <w:rsid w:val="00A154DC"/>
    <w:rsid w:val="00A828E4"/>
    <w:rsid w:val="00A95BEE"/>
    <w:rsid w:val="00AC0525"/>
    <w:rsid w:val="00AD6FE6"/>
    <w:rsid w:val="00AE3219"/>
    <w:rsid w:val="00AE7342"/>
    <w:rsid w:val="00B45CBD"/>
    <w:rsid w:val="00B64306"/>
    <w:rsid w:val="00B860E9"/>
    <w:rsid w:val="00BB4389"/>
    <w:rsid w:val="00BC077C"/>
    <w:rsid w:val="00BD0D9B"/>
    <w:rsid w:val="00BE5B3A"/>
    <w:rsid w:val="00C20120"/>
    <w:rsid w:val="00C2324E"/>
    <w:rsid w:val="00C53FAF"/>
    <w:rsid w:val="00C62B21"/>
    <w:rsid w:val="00C65F23"/>
    <w:rsid w:val="00C73FA6"/>
    <w:rsid w:val="00C8634C"/>
    <w:rsid w:val="00CB38A3"/>
    <w:rsid w:val="00CB62CD"/>
    <w:rsid w:val="00CD6D5F"/>
    <w:rsid w:val="00CF325A"/>
    <w:rsid w:val="00D10680"/>
    <w:rsid w:val="00D30D9A"/>
    <w:rsid w:val="00D46A4A"/>
    <w:rsid w:val="00D613B9"/>
    <w:rsid w:val="00D76CAF"/>
    <w:rsid w:val="00D82FC7"/>
    <w:rsid w:val="00E2074F"/>
    <w:rsid w:val="00E208FF"/>
    <w:rsid w:val="00E351A5"/>
    <w:rsid w:val="00E4352C"/>
    <w:rsid w:val="00E509E2"/>
    <w:rsid w:val="00E56A21"/>
    <w:rsid w:val="00E66168"/>
    <w:rsid w:val="00E6680F"/>
    <w:rsid w:val="00EB6058"/>
    <w:rsid w:val="00EE4D83"/>
    <w:rsid w:val="00F00B6A"/>
    <w:rsid w:val="00F057F5"/>
    <w:rsid w:val="00F17310"/>
    <w:rsid w:val="00F336FE"/>
    <w:rsid w:val="00F34270"/>
    <w:rsid w:val="00FB27B3"/>
    <w:rsid w:val="00FC3BC2"/>
    <w:rsid w:val="00FD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E7FACD7-A71B-426B-8368-67C720B8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8F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3">
    <w:name w:val="heading 3"/>
    <w:basedOn w:val="Normal"/>
    <w:link w:val="Heading3Char"/>
    <w:uiPriority w:val="99"/>
    <w:qFormat/>
    <w:rsid w:val="00CF325A"/>
    <w:pPr>
      <w:spacing w:before="100" w:beforeAutospacing="1" w:after="100" w:afterAutospacing="1"/>
      <w:outlineLvl w:val="2"/>
    </w:pPr>
    <w:rPr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F325A"/>
    <w:rPr>
      <w:rFonts w:ascii="Times New Roman" w:hAnsi="Times New Roman" w:cs="Times New Roman"/>
      <w:b/>
      <w:bCs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99"/>
    <w:rsid w:val="0092028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2028F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92028F"/>
    <w:rPr>
      <w:rFonts w:ascii="Times New Roman" w:eastAsia="Times New Roman" w:hAnsi="Times New Roman"/>
      <w:b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6680F"/>
    <w:rPr>
      <w:rFonts w:ascii="Consolas" w:eastAsia="Calibr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99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120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rsid w:val="009D76B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D76B4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559A0"/>
    <w:pPr>
      <w:jc w:val="both"/>
    </w:pPr>
    <w:rPr>
      <w:rFonts w:eastAsia="Calibri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559A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559A0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6F0D2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F0D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F0D28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F0D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F0D28"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6F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7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z.government.bg" TargetMode="External"/><Relationship Id="rId2" Type="http://schemas.openxmlformats.org/officeDocument/2006/relationships/hyperlink" Target="http://www.mlsp.government.bg" TargetMode="External"/><Relationship Id="rId1" Type="http://schemas.openxmlformats.org/officeDocument/2006/relationships/hyperlink" Target="http://www.nap.bg" TargetMode="External"/><Relationship Id="rId5" Type="http://schemas.openxmlformats.org/officeDocument/2006/relationships/hyperlink" Target="http://www3.moew.government.bg/" TargetMode="External"/><Relationship Id="rId4" Type="http://schemas.openxmlformats.org/officeDocument/2006/relationships/hyperlink" Target="http://www.gli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F8150-CB71-4B3C-AF02-AD3B4063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ТЕХНИЧЕСКО ПРЕДЛОЖЕНИЕ</vt:lpstr>
    </vt:vector>
  </TitlesOfParts>
  <Company>Hewlett-Packard</Company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 ПРЕДЛОЖЕНИЕ</dc:title>
  <dc:subject/>
  <dc:creator>Desi</dc:creator>
  <cp:keywords/>
  <dc:description/>
  <cp:lastModifiedBy>Росен Стефанов</cp:lastModifiedBy>
  <cp:revision>5</cp:revision>
  <dcterms:created xsi:type="dcterms:W3CDTF">2018-02-12T13:38:00Z</dcterms:created>
  <dcterms:modified xsi:type="dcterms:W3CDTF">2018-03-19T14:54:00Z</dcterms:modified>
</cp:coreProperties>
</file>